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9227BD" w:rsidRPr="009227BD" w:rsidRDefault="009227BD" w:rsidP="009227BD">
      <w:pPr>
        <w:tabs>
          <w:tab w:val="left" w:pos="14656"/>
        </w:tabs>
        <w:jc w:val="center"/>
        <w:rPr>
          <w:b/>
          <w:sz w:val="20"/>
          <w:szCs w:val="20"/>
          <w:lang w:eastAsia="lt-LT"/>
        </w:rPr>
      </w:pPr>
      <w:r w:rsidRPr="009227BD">
        <w:rPr>
          <w:b/>
          <w:lang w:eastAsia="lt-LT"/>
        </w:rPr>
        <w:t>KLAIPĖDOS LOPŠELIO-DARŽELIO „RŪTA“</w:t>
      </w:r>
    </w:p>
    <w:p w:rsidR="009227BD" w:rsidRPr="009227BD" w:rsidRDefault="009227BD" w:rsidP="009227BD">
      <w:pPr>
        <w:jc w:val="center"/>
        <w:rPr>
          <w:b/>
          <w:lang w:eastAsia="lt-LT"/>
        </w:rPr>
      </w:pPr>
      <w:r w:rsidRPr="009227BD">
        <w:rPr>
          <w:b/>
          <w:lang w:eastAsia="lt-LT"/>
        </w:rPr>
        <w:t>2021 METŲ VEIKLOS ATASKAITA</w:t>
      </w:r>
    </w:p>
    <w:p w:rsidR="009227BD" w:rsidRPr="009227BD" w:rsidRDefault="009227BD" w:rsidP="009227BD">
      <w:pPr>
        <w:jc w:val="center"/>
        <w:rPr>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9227BD" w:rsidRPr="009227BD" w:rsidTr="00220171">
        <w:tc>
          <w:tcPr>
            <w:tcW w:w="9775" w:type="dxa"/>
            <w:tcBorders>
              <w:top w:val="nil"/>
              <w:left w:val="nil"/>
              <w:bottom w:val="nil"/>
              <w:right w:val="nil"/>
            </w:tcBorders>
            <w:hideMark/>
          </w:tcPr>
          <w:p w:rsidR="009227BD" w:rsidRPr="009227BD" w:rsidRDefault="009227BD" w:rsidP="00411D97">
            <w:pPr>
              <w:ind w:firstLine="603"/>
              <w:jc w:val="both"/>
            </w:pPr>
            <w:r w:rsidRPr="009227BD">
              <w:t xml:space="preserve">Klaipėdos lopšelis-darželis ,,Rūta“ (toliau – Įstaiga) įgyvendina ikimokyklinio ir priešmokyklinio ugdymo programas. 2021-09-01 duomenimis, Įstaigoje ugdytas </w:t>
            </w:r>
            <w:r w:rsidRPr="009227BD">
              <w:rPr>
                <w:shd w:val="clear" w:color="auto" w:fill="F2F2F2"/>
              </w:rPr>
              <w:t>201</w:t>
            </w:r>
            <w:r w:rsidRPr="009227BD">
              <w:t xml:space="preserve"> ugdytinis   (2020 m. – 207), iš jų 162 buvo ugdomi pagal ikimokyklinio ugdymo programą, 39 – pagal priešmokyklinio ugdymo programą. Dirbo 23 pedagogai (23,2 etato) ir 25 nepedagoginiai darbuotojai (25,56 etato).</w:t>
            </w:r>
          </w:p>
          <w:p w:rsidR="009227BD" w:rsidRPr="009227BD" w:rsidRDefault="009227BD" w:rsidP="00411D97">
            <w:pPr>
              <w:autoSpaceDE w:val="0"/>
              <w:autoSpaceDN w:val="0"/>
              <w:adjustRightInd w:val="0"/>
              <w:ind w:left="24" w:right="-22" w:firstLine="573"/>
              <w:jc w:val="both"/>
              <w:rPr>
                <w:szCs w:val="20"/>
              </w:rPr>
            </w:pPr>
            <w:r w:rsidRPr="009227BD">
              <w:t xml:space="preserve">Praėjusiais metais Įstaiga veikė, vadovaudamasi 2021–2023 m. strateginiu planu (toliau – Strateginis planas) ir 2021 m. veiklos planu (toliau – Veiklos planas). </w:t>
            </w:r>
            <w:r w:rsidRPr="009227BD">
              <w:rPr>
                <w:szCs w:val="20"/>
              </w:rPr>
              <w:t xml:space="preserve">Įstaigos bendruomenė 2021 m. numatė šias prioritetines veiklos kryptis: socialinės partnerystės ir lyderystės gebėjimų didinimas, profesinis pedagogų skaitmeninio raštingumo tobulinimas, siekiant ugdymo paslaugų kokybės. </w:t>
            </w:r>
          </w:p>
          <w:p w:rsidR="009227BD" w:rsidRPr="009227BD" w:rsidRDefault="009227BD" w:rsidP="00411D97">
            <w:pPr>
              <w:ind w:firstLine="603"/>
              <w:jc w:val="both"/>
              <w:rPr>
                <w:strike/>
              </w:rPr>
            </w:pPr>
            <w:r w:rsidRPr="009227BD">
              <w:t>Siekiant Strateginio plano pirmojo tikslo</w:t>
            </w:r>
            <w:r w:rsidRPr="009227BD">
              <w:rPr>
                <w:szCs w:val="20"/>
              </w:rPr>
              <w:t xml:space="preserve"> – </w:t>
            </w:r>
            <w:r w:rsidRPr="009227BD">
              <w:t xml:space="preserve">užtikrinti kokybišką ugdymo proceso organizavimą – Įstaigos veikla buvo orientuojama į socialinę partnerystę ir lyderystę, užtikrinant pažangų ir kokybišką vaikų ugdymą. Strateginiam tikslui pasiekti buvo vykdomi du Veiklos plano uždaviniai: </w:t>
            </w:r>
          </w:p>
          <w:p w:rsidR="009227BD" w:rsidRDefault="009227BD" w:rsidP="00411D97">
            <w:pPr>
              <w:tabs>
                <w:tab w:val="left" w:pos="887"/>
              </w:tabs>
              <w:ind w:firstLine="567"/>
              <w:contextualSpacing/>
              <w:jc w:val="both"/>
            </w:pPr>
            <w:r>
              <w:t xml:space="preserve">– </w:t>
            </w:r>
            <w:r w:rsidRPr="009227BD">
              <w:t>įgyvendinant pirmąjį uždavinį</w:t>
            </w:r>
            <w:r w:rsidRPr="009227BD">
              <w:rPr>
                <w:b/>
              </w:rPr>
              <w:t xml:space="preserve"> </w:t>
            </w:r>
            <w:r w:rsidRPr="009227BD">
              <w:t xml:space="preserve">– sudaryti sąlygas kokybiško ugdymo proceso užtikrinimui – buvo sėkmingai įvykdytos priemonės, susijusios su kokybiško ugdymo proceso organizavimu palankioje ugdymuisi aplinkoje, darbuotojų kvalifikacijos tobulinimu ir vaikų pažinimo ir saviraiškos poreikių tenkinimu. </w:t>
            </w:r>
            <w:r w:rsidRPr="009227BD">
              <w:rPr>
                <w:color w:val="000000"/>
                <w:szCs w:val="20"/>
              </w:rPr>
              <w:t xml:space="preserve">Planavimas ir ugdytinių pasiekimų ir pažangos vertinimas buvo vykdomas elektroniniame dienyne </w:t>
            </w:r>
            <w:hyperlink r:id="rId6" w:history="1">
              <w:r w:rsidRPr="009227BD">
                <w:rPr>
                  <w:color w:val="000000"/>
                  <w:szCs w:val="20"/>
                  <w:u w:val="single"/>
                </w:rPr>
                <w:t>www.musudarzelis.lt</w:t>
              </w:r>
            </w:hyperlink>
            <w:r w:rsidRPr="009227BD">
              <w:rPr>
                <w:color w:val="000000"/>
                <w:szCs w:val="20"/>
              </w:rPr>
              <w:t xml:space="preserve">., ugdytinių pasiekimų vertinimo kriterijai buvo orientuojami į ugdymo proceso kokybę. Vertinimo rezultatai panaudoti kiekybiniams ir kokybiniams vaiko pažangos pokyčiams nustatyti, ugdymo turiniui ir metodams koreguoti, veiklai tobulinti. Į ugdymo turinį integruojamos </w:t>
            </w:r>
            <w:r w:rsidRPr="009227BD">
              <w:rPr>
                <w:szCs w:val="20"/>
              </w:rPr>
              <w:t xml:space="preserve">programos: tarptautinė </w:t>
            </w:r>
            <w:r w:rsidRPr="009227BD">
              <w:rPr>
                <w:color w:val="000000"/>
                <w:szCs w:val="20"/>
              </w:rPr>
              <w:t xml:space="preserve">socialinių įgūdžių lavinimo „Zipio draugai“ (dalyvavo </w:t>
            </w:r>
            <w:r w:rsidRPr="009227BD">
              <w:rPr>
                <w:szCs w:val="20"/>
              </w:rPr>
              <w:t>39 ugdytiniai)</w:t>
            </w:r>
            <w:r w:rsidRPr="009227BD">
              <w:rPr>
                <w:color w:val="000000"/>
                <w:szCs w:val="20"/>
              </w:rPr>
              <w:t xml:space="preserve"> ir socialinių ir emocinių kompetencijų lavinimo „Kimochis“ (dalyvavo 35 ugdytiniai).</w:t>
            </w:r>
            <w:r w:rsidRPr="009227BD">
              <w:rPr>
                <w:rFonts w:eastAsia="Calibri"/>
              </w:rPr>
              <w:t xml:space="preserve"> Vykdant šias programas, buvo siekiama, kad </w:t>
            </w:r>
            <w:r w:rsidRPr="009227BD">
              <w:rPr>
                <w:rFonts w:eastAsia="Calibri"/>
                <w:color w:val="000000"/>
              </w:rPr>
              <w:t xml:space="preserve">vaikai išsiugdytų atsparumą neigiamai aplinkos įtakai, gebėtų susivaldyti, taptų jautresni artimųjų emocinei būsenai bei problemoms, gebantys drauge rasti išeitį iš sudėtingų situacijų. </w:t>
            </w:r>
            <w:r w:rsidRPr="009227BD">
              <w:t xml:space="preserve">Parengtas ir įgyvendintas ,,STEAM gyvena darželyje“ metų projektas, kurio eigoje mokytojai patobulino kompetencijas, stebėdami praktines veiklas ir ugdymosi aplinkas socialinių partnerių įstaigose, diskutuodami tarpusavyje dėl naujų idėjų diegimo. 70 proc. bendruomenės narių įsitraukė į STEAM veiklas dalyvaudami respublikos, miesto metodiniuose renginiuose, kursuose, seminaruose. </w:t>
            </w:r>
            <w:r w:rsidRPr="009227BD">
              <w:rPr>
                <w:szCs w:val="20"/>
              </w:rPr>
              <w:t>Ugdytiniai dalyvavo 19 respublikinių ir 3 tarptautiniuose renginiuose. Dalyvavimas renginiuose sudarė galimybę ugdyti vaikų gebėjimą dirbti komandoje, vystytis individualybei. I</w:t>
            </w:r>
            <w:r w:rsidRPr="009227BD">
              <w:rPr>
                <w:lang w:eastAsia="lt-LT"/>
              </w:rPr>
              <w:t xml:space="preserve">nicijuoti 2 respublikiniai renginiai, 7 Įstaigos teminės savaitės, 21 kūrybinių darbų paroda. 71 proc. mokytojų dalijosi gerąja darbo patirtimi Įstaigoje, mieste ir respublikoje: 6 mokytojai dalyvavo 1 tarptautiniame ir 4 respublikiniuose projektuose, 3 mokytojai parengė pranešimus ir pristatė miesto metodinių dienų renginiuose, 12 mokytojų pristatė veiklas mokytojų ir metodinės tarybos posėdžiuose. Dalindamiesi gerąja darbo patirtimi, tobulėjo ne tik mokytojai, bet buvo pagerinta ugdymo kokybė bei vaikų pasiekimai. Įsigytos 53 priemonės ir įrengtos 3 erdvės grupėse, 4 lauke STEAM metodui taikyti. Vaikai įgijo žinių ir galimybių patiems įsitikinti savo gebėjimais bendrauti, tirti, improvizuoti, savarankiškai ieškojo informacijos, siūlė idėjas projektinėms veikloms. 45 proc. pagerėjo vaikų pažintiniai gebėjimai ir 75 proc. tėvų labai gerai vertina ugdymo kokybę Įstaigoje. </w:t>
            </w:r>
          </w:p>
          <w:p w:rsidR="009227BD" w:rsidRDefault="009227BD" w:rsidP="00411D97">
            <w:pPr>
              <w:tabs>
                <w:tab w:val="left" w:pos="887"/>
              </w:tabs>
              <w:ind w:firstLine="567"/>
              <w:contextualSpacing/>
              <w:jc w:val="both"/>
            </w:pPr>
            <w:r w:rsidRPr="009227BD">
              <w:rPr>
                <w:color w:val="000000"/>
                <w:szCs w:val="20"/>
              </w:rPr>
              <w:t>2021 metais</w:t>
            </w:r>
            <w:r w:rsidRPr="009227BD">
              <w:t xml:space="preserve"> </w:t>
            </w:r>
            <w:r w:rsidRPr="009227BD">
              <w:rPr>
                <w:color w:val="000000"/>
                <w:szCs w:val="20"/>
              </w:rPr>
              <w:t>aktyviai dalyvauta sveikatą stiprinančių mokyklų tinklo „Sveika mokykla“ veikloje, dalintasi gerąja patirtim</w:t>
            </w:r>
            <w:r w:rsidRPr="009227BD">
              <w:rPr>
                <w:szCs w:val="20"/>
              </w:rPr>
              <w:t xml:space="preserve">i įgyvendinant Sveikatos stiprinimo programą 2020–2025 </w:t>
            </w:r>
            <w:r w:rsidRPr="009227BD">
              <w:rPr>
                <w:szCs w:val="20"/>
              </w:rPr>
              <w:lastRenderedPageBreak/>
              <w:t>metams.</w:t>
            </w:r>
            <w:r w:rsidRPr="009227BD">
              <w:rPr>
                <w:lang w:eastAsia="lt-LT"/>
              </w:rPr>
              <w:t xml:space="preserve"> Dalyvauta</w:t>
            </w:r>
            <w:r w:rsidRPr="009227BD">
              <w:rPr>
                <w:b/>
                <w:lang w:eastAsia="lt-LT"/>
              </w:rPr>
              <w:t xml:space="preserve"> </w:t>
            </w:r>
            <w:r w:rsidRPr="009227BD">
              <w:rPr>
                <w:lang w:eastAsia="lt-LT"/>
              </w:rPr>
              <w:t xml:space="preserve">Lietuvos mokinių neformaliojo švietimo centro projekte ,,Sveikata visus metus 2021“. </w:t>
            </w:r>
            <w:r w:rsidRPr="009227BD">
              <w:rPr>
                <w:szCs w:val="20"/>
              </w:rPr>
              <w:t>Už pasiektus rezultatus Nacionalinio sveikatą stiprinančių mokyklų tinklo ir aktyvių mokyklų veiklos koordinavimo komisija pripažino Įstaigą sveikatą stiprinančia mokykla</w:t>
            </w:r>
            <w:r w:rsidRPr="009227BD">
              <w:rPr>
                <w:szCs w:val="20"/>
                <w:shd w:val="clear" w:color="auto" w:fill="F2F2F2"/>
              </w:rPr>
              <w:t>.</w:t>
            </w:r>
            <w:r w:rsidRPr="009227BD">
              <w:rPr>
                <w:szCs w:val="20"/>
              </w:rPr>
              <w:t xml:space="preserve"> Į ugdymo procesą integruojama „Alkoholio, tabako ir kitų psichiką veikiančių medžiagų vartojimo prevencinė programa“ (dalyvavo 153 ugdytiniai). </w:t>
            </w:r>
            <w:r w:rsidRPr="009227BD">
              <w:rPr>
                <w:lang w:eastAsia="lt-LT"/>
              </w:rPr>
              <w:t xml:space="preserve">Parengtas ir įgyvendintas kūrybinės grupės ,,Sveikuoliai“ sveikos gyvensenos planas. 80 proc. bendruomenės narių dalyvavo sveikatinimo veiklose: organizuotas respublikinis vaikų, tėvų ir mokytojų sveikatinimo projektas ,,Sportuok linksmai“, Įstaigoje įgyvendinta 10 sveikatinimo projektų, organizuotos 3 sportinės pramogos, sveikatinimo iniciatyva ,,Sveikuoliška iškyla“, pristatytas pranešimas ,,Sportas sveikata – mūsų komanda jėga“, organizuotos 2 sportinės popietės su ugdytinių tėvais. </w:t>
            </w:r>
            <w:r w:rsidRPr="009227BD">
              <w:rPr>
                <w:color w:val="000000"/>
              </w:rPr>
              <w:t xml:space="preserve">Visuomenės sveikatos specialistas Įstaigoje organizavo </w:t>
            </w:r>
            <w:r w:rsidRPr="009227BD">
              <w:t>42</w:t>
            </w:r>
            <w:r w:rsidRPr="009227BD">
              <w:rPr>
                <w:color w:val="000000"/>
              </w:rPr>
              <w:t xml:space="preserve"> sveikatos ugdymo veiklas, kuriose dalyvavo visi įstaigos ugdytiniai.</w:t>
            </w:r>
            <w:r w:rsidRPr="009227BD">
              <w:rPr>
                <w:lang w:eastAsia="lt-LT"/>
              </w:rPr>
              <w:t xml:space="preserve"> Sėkmingai dalyvauta Vaisių vartojimo skatinimo vaikų ugdymo įstaigose programoje ir Pieno produktų vartojimo vaikų ir švietimo įstaigose paramos programoje ,,Pienas vaikams“. Išskirtinis dėmesys skirtas sveikos ir saugios mitybos organizavimui Įstaigoje. </w:t>
            </w:r>
          </w:p>
          <w:p w:rsidR="009227BD" w:rsidRDefault="009227BD" w:rsidP="00411D97">
            <w:pPr>
              <w:tabs>
                <w:tab w:val="left" w:pos="887"/>
              </w:tabs>
              <w:ind w:firstLine="567"/>
              <w:contextualSpacing/>
              <w:jc w:val="both"/>
            </w:pPr>
            <w:r w:rsidRPr="009227BD">
              <w:rPr>
                <w:color w:val="000000"/>
                <w:szCs w:val="20"/>
              </w:rPr>
              <w:t>Siekiant kurti palankią aplinką ir gerą mikroklimatą Įstaigoje sukurta Smurto ir patyčių prevencijos ir intervencijos vykdymo grupė, parengta ir įgyvendinta 2021 m. programa.</w:t>
            </w:r>
            <w:r w:rsidRPr="009227BD">
              <w:rPr>
                <w:color w:val="FF0000"/>
                <w:szCs w:val="20"/>
              </w:rPr>
              <w:t xml:space="preserve"> </w:t>
            </w:r>
            <w:r w:rsidRPr="009227BD">
              <w:rPr>
                <w:lang w:eastAsia="lt-LT"/>
              </w:rPr>
              <w:t xml:space="preserve">Lauko sveikatinimo ir sporto erdvė papildyta nauju perėjimo tilteliu ir 9 priemonėmis aktyviai vaikų veiklai. Atlikus metinės mokytojų veiklos refleksijos analizę, nustatyta, kad 58 proc. padaugėjo sveikatinimo veiklų, kurias teigiamai vertino ugdytinių tėvai. </w:t>
            </w:r>
          </w:p>
          <w:p w:rsidR="009227BD" w:rsidRPr="009227BD" w:rsidRDefault="009227BD" w:rsidP="00411D97">
            <w:pPr>
              <w:tabs>
                <w:tab w:val="left" w:pos="887"/>
              </w:tabs>
              <w:ind w:firstLine="567"/>
              <w:contextualSpacing/>
              <w:jc w:val="both"/>
            </w:pPr>
            <w:r w:rsidRPr="009227BD">
              <w:rPr>
                <w:lang w:eastAsia="lt-LT"/>
              </w:rPr>
              <w:t xml:space="preserve">Mokytojai aktyviai dalyvavo kvalifikacijos kėlimo renginiuose ne tik lankydami kursus ir seminarus, </w:t>
            </w:r>
            <w:r w:rsidRPr="009227BD">
              <w:t xml:space="preserve">bet ir naudodami nuotolinio mokymosi platformą </w:t>
            </w:r>
            <w:hyperlink r:id="rId7" w:history="1">
              <w:r w:rsidRPr="009227BD">
                <w:rPr>
                  <w:color w:val="0563C1"/>
                  <w:u w:val="single"/>
                </w:rPr>
                <w:t>www.pedagogas.l</w:t>
              </w:r>
              <w:r w:rsidRPr="009227BD">
                <w:rPr>
                  <w:bCs/>
                  <w:color w:val="0563C1"/>
                  <w:u w:val="single"/>
                  <w:lang w:eastAsia="lt-LT"/>
                </w:rPr>
                <w:t>t</w:t>
              </w:r>
            </w:hyperlink>
            <w:r w:rsidRPr="009227BD">
              <w:rPr>
                <w:bCs/>
                <w:lang w:eastAsia="lt-LT"/>
              </w:rPr>
              <w:t xml:space="preserve">. </w:t>
            </w:r>
            <w:r w:rsidRPr="009227BD">
              <w:rPr>
                <w:lang w:eastAsia="lt-LT"/>
              </w:rPr>
              <w:t>Vidutiniškai 1 mokytojas kėlė profesinę kvalifikaciją 9 dienas, kitas</w:t>
            </w:r>
            <w:r w:rsidRPr="009227BD">
              <w:rPr>
                <w:bCs/>
                <w:lang w:eastAsia="lt-LT"/>
              </w:rPr>
              <w:t xml:space="preserve"> </w:t>
            </w:r>
            <w:r w:rsidRPr="009227BD">
              <w:rPr>
                <w:lang w:eastAsia="lt-LT"/>
              </w:rPr>
              <w:t>personalas – 2,5 dienų per metus. Parengtos ir įgyvendintos 2 kvalifikacijos kėlimo programos: ,,Ugdomosios veiklos planavimo esminiai aspektai ir principai“, ,,Kolegialaus mokymosi metodo ,,Pamokos studija“ taikymas ikimokyklinio ugdymo įstaigoje“ ir organizuoti 2 seminarai. Siekdami tikslingai tobulinti skaitmeninį raštingumą, 100 proc. mokytojų dalyvavo 2 mokymo programose. Įgytos mokytojų žinios paskatino mokytojus patiems rengti ir į ugdymo procesą integruoti interaktyvias priemones. 2021 m. mokytojai parengė 23 metodines priemones, sukurtas naudojant platformas „Microsoft PowerPoint“, „Book Creator“, „Read Book“, „Padlet“. „Microsoft Teams“ platformoje su socialiniais partneriais, siekiant skleisti profesinę patirtį, organizuoti 3 metodiniai renginiai. Nuotoliniu būdu išbandytas kolegialaus bendradarbiavimo metodas ,,Pamokos studija“ su Klaipėdos lopšeliu-darželiu ,,Dobiliukas“, kuris skatino mokytojus dalintis gerąja darbo patirtimi informacinių komunikacinių technologijų (toliau – IKT) pagalba, gerino ugdomosios veiklos kokybę;</w:t>
            </w:r>
          </w:p>
          <w:p w:rsidR="009227BD" w:rsidRPr="009227BD" w:rsidRDefault="009227BD" w:rsidP="00411D97">
            <w:pPr>
              <w:tabs>
                <w:tab w:val="left" w:pos="887"/>
              </w:tabs>
              <w:ind w:firstLine="567"/>
              <w:contextualSpacing/>
              <w:jc w:val="both"/>
            </w:pPr>
            <w:r w:rsidRPr="009227BD">
              <w:t>– įgyvendinant antrąjį uždavinį – teikti papildomas paslaugas – orientuotasi į kokybiško vaikų maitinimo ir švietimo pagalbos teikimą. Sudarytos sąlygos 201 Įstaigos ugdytiniui teikti sveikatai palankų, šviežią, šiltą, vietoje pagamintą maistą. Organizuotas 3 kartų maitinimas. Maisto gamyba buvo vykdoma laikantis Geros higienos praktikos taisyklių ir Lietuvos HN15:2021 „Maisto higiena“. Maisto gaminimui buvo užtikrinamas saugių ir sveikų produktų teikimas, atitinkantis maisto saugos reikalavimus. Priemonė finansuojama iš tėvų įmokų už maitinimo paslaugą Klaipėdos miesto savivaldybės tarybos nustatyta tvarka. Atnaujinta virtuvės įranga: įsigytas 1 šaldytuvas ir dviguba virtuvės plautuvė.</w:t>
            </w:r>
          </w:p>
          <w:p w:rsidR="009227BD" w:rsidRPr="009227BD" w:rsidRDefault="009227BD" w:rsidP="00411D97">
            <w:pPr>
              <w:tabs>
                <w:tab w:val="left" w:pos="1985"/>
              </w:tabs>
              <w:ind w:firstLine="709"/>
              <w:contextualSpacing/>
              <w:jc w:val="both"/>
              <w:rPr>
                <w:b/>
              </w:rPr>
            </w:pPr>
            <w:r w:rsidRPr="009227BD">
              <w:t xml:space="preserve">Siekiant paslaugų patrauklumo, prieinamumo, atsižvelgta į individualiuosius ir specialiuosius vaikų gebėjimus, socialinę šeimų padėtį. 2021 metais 19 vaikų taikyta 50 proc. mokesčio už vaikų maitinimą lengvata, 2 vaikams – 100 proc. 30 vaikų, turintiems kalbos ir komunikacijos sutrikimų, teikta specialioji pedagoginė pagalba. </w:t>
            </w:r>
            <w:r w:rsidRPr="009227BD">
              <w:rPr>
                <w:szCs w:val="20"/>
              </w:rPr>
              <w:t>Organizuoti 4 Vaiko gerovės komisijos posėdžiai, 1 Smurto ir patyčių prevencijos ir intervencijos vykdymo grupės posėdis.</w:t>
            </w:r>
          </w:p>
          <w:p w:rsidR="009227BD" w:rsidRPr="009227BD" w:rsidRDefault="009227BD" w:rsidP="00411D97">
            <w:pPr>
              <w:ind w:firstLine="603"/>
              <w:jc w:val="both"/>
            </w:pPr>
            <w:r w:rsidRPr="009227BD">
              <w:t>Siekiant Strateginio plano antrojo tikslo –</w:t>
            </w:r>
            <w:r w:rsidRPr="009227BD">
              <w:rPr>
                <w:szCs w:val="20"/>
              </w:rPr>
              <w:t xml:space="preserve"> </w:t>
            </w:r>
            <w:r w:rsidRPr="009227BD">
              <w:t>užtikrinti sveiką, saugią ir šiuolaikinius ugdymo(si) reikalavimus atitinkančią aplinką – Įstaigos veikla buvo orientuojama į edukacinių aplinkų kūrimą, patalpų būklės atnaujinimą, šiuolaikinių ugdymo(si) priemonių įsigijimą. Tikslui pasiekti buvo vykdomi 2 Veiklos plano uždaviniai:</w:t>
            </w:r>
          </w:p>
          <w:p w:rsidR="009227BD" w:rsidRPr="009227BD" w:rsidRDefault="009227BD" w:rsidP="00411D97">
            <w:pPr>
              <w:ind w:firstLine="603"/>
              <w:jc w:val="both"/>
            </w:pPr>
            <w:r w:rsidRPr="009227BD">
              <w:t xml:space="preserve">– įgyvendinant pirmąjį uždavinį – gerinti Įstaigos ugdymo sąlygas ir aplinką – vykdytos 2 priemonės: kontroliuojančių institucijų reikalavimų vykdymas ir aplinkos naujinimas. 2021 metais </w:t>
            </w:r>
            <w:r w:rsidRPr="009227BD">
              <w:lastRenderedPageBreak/>
              <w:t>vykdant šias priemones už 2,0</w:t>
            </w:r>
            <w:r w:rsidRPr="009227BD">
              <w:rPr>
                <w:color w:val="FF0000"/>
              </w:rPr>
              <w:t xml:space="preserve"> </w:t>
            </w:r>
            <w:r w:rsidRPr="009227BD">
              <w:t>tūkst. Eur įsigytas šaldiklis ir dviguba virtuvės plautuvė. Atlikti remonto darbai virtuvėje ir vienoje grupėje (1,4 tūkst. Eur), 3 grupių rūbinėlėse pakeistos lubos, 16 elektros šviestuvų (1,2 tūkst. Eur), a administracijos patalpose atnaujinta grindų danga (0,8 tūkst. Eur);</w:t>
            </w:r>
          </w:p>
          <w:p w:rsidR="009227BD" w:rsidRPr="009227BD" w:rsidRDefault="009227BD" w:rsidP="00411D97">
            <w:pPr>
              <w:ind w:firstLine="603"/>
              <w:jc w:val="both"/>
            </w:pPr>
            <w:r w:rsidRPr="009227BD">
              <w:t>– įgyvendinant antrąjį uždavinį – pritaikyti įstaigos aplinkas švietimo reikmėms – Įstaigos veikla buvo orientuojama į estetiškos, funkcionalios ugdymo(si) aplinkos kūrimą ir lauko įrengimų atnaujinimą. Vykdytos 2 priemonės, pagal kurias</w:t>
            </w:r>
            <w:r w:rsidRPr="009227BD">
              <w:rPr>
                <w:szCs w:val="20"/>
              </w:rPr>
              <w:t xml:space="preserve"> efektyviai panaudojus savivaldybės biudžeto, valstybės biudžeto specialiąsias tikslines dotacijas, įmokų už vaikų išlaikymą Įstaigoje lėšas, tėvų paramos lėšas ir siekiant užtikrinti saugias, estetiškas darbo sąlygas, Įstaigoje buvo atnaujinti grupių baldai (1,8 tūkst. Eur), įsigyta ugdymo priemonių, žaislų (5,3 tūkst. Eur), kanceliarinių prekių (0,3 tūkst. Eur)</w:t>
            </w:r>
            <w:r w:rsidRPr="009227BD">
              <w:t xml:space="preserve">, valymo, švaros ir higienos priemonių (1,3 tūkst. Eur), pirmosios pagalbos rinkiniai (5,0 tūkst. Eur), informacinės technologijos: </w:t>
            </w:r>
            <w:r w:rsidRPr="009227BD">
              <w:rPr>
                <w:shd w:val="clear" w:color="auto" w:fill="F2F2F2"/>
              </w:rPr>
              <w:t>1 kompiuteris, 3 spausdintuvai, 1 projektorius (1,8 tūkst. Eur),</w:t>
            </w:r>
            <w:r w:rsidRPr="009227BD">
              <w:t xml:space="preserve"> kiemo teritorijoje pastatyti 2 lauko nameliai (1,8 tūkst. Eur), apvalus lauko stalas su suoliukais (2,0 tūkst. Eur), dėžės lauko žaislams (0,9 tūkst. Eur). Įstaigai  neatlygintinai naudoti perduoti 2 kompiuteriai, 2 laminavimo aparatai.</w:t>
            </w:r>
          </w:p>
          <w:p w:rsidR="009227BD" w:rsidRPr="009227BD" w:rsidRDefault="009227BD" w:rsidP="009227BD">
            <w:pPr>
              <w:spacing w:line="256" w:lineRule="auto"/>
              <w:ind w:firstLine="603"/>
              <w:jc w:val="both"/>
            </w:pPr>
            <w:r w:rsidRPr="009227BD">
              <w:t>2021 m. Įstaigos finansinė situacija buvo tokia:</w:t>
            </w:r>
          </w:p>
          <w:tbl>
            <w:tblPr>
              <w:tblStyle w:val="Lentelstinklelis"/>
              <w:tblW w:w="0" w:type="auto"/>
              <w:tblInd w:w="31" w:type="dxa"/>
              <w:tblLook w:val="04A0" w:firstRow="1" w:lastRow="0" w:firstColumn="1" w:lastColumn="0" w:noHBand="0" w:noVBand="1"/>
            </w:tblPr>
            <w:tblGrid>
              <w:gridCol w:w="1949"/>
              <w:gridCol w:w="1701"/>
              <w:gridCol w:w="1475"/>
              <w:gridCol w:w="1360"/>
              <w:gridCol w:w="3013"/>
            </w:tblGrid>
            <w:tr w:rsidR="009227BD" w:rsidRPr="009227BD" w:rsidTr="009227BD">
              <w:trPr>
                <w:tblHeader/>
              </w:trPr>
              <w:tc>
                <w:tcPr>
                  <w:tcW w:w="1949" w:type="dxa"/>
                  <w:vMerge w:val="restart"/>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Finansavimo šaltinis</w:t>
                  </w:r>
                </w:p>
              </w:tc>
              <w:tc>
                <w:tcPr>
                  <w:tcW w:w="4536" w:type="dxa"/>
                  <w:gridSpan w:val="3"/>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Lėšos (tūkst. Eur)</w:t>
                  </w:r>
                </w:p>
              </w:tc>
              <w:tc>
                <w:tcPr>
                  <w:tcW w:w="3013" w:type="dxa"/>
                  <w:vMerge w:val="restart"/>
                  <w:tcBorders>
                    <w:top w:val="single" w:sz="4" w:space="0" w:color="auto"/>
                    <w:left w:val="single" w:sz="4" w:space="0" w:color="auto"/>
                    <w:bottom w:val="single" w:sz="4" w:space="0" w:color="auto"/>
                    <w:right w:val="single" w:sz="4" w:space="0" w:color="auto"/>
                  </w:tcBorders>
                </w:tcPr>
                <w:p w:rsidR="009227BD" w:rsidRPr="009227BD" w:rsidRDefault="009227BD" w:rsidP="009227BD">
                  <w:pPr>
                    <w:jc w:val="center"/>
                  </w:pPr>
                  <w:r w:rsidRPr="009227BD">
                    <w:t>Pastabos</w:t>
                  </w:r>
                </w:p>
                <w:p w:rsidR="009227BD" w:rsidRPr="009227BD" w:rsidRDefault="009227BD" w:rsidP="009227BD">
                  <w:pPr>
                    <w:jc w:val="center"/>
                  </w:pPr>
                </w:p>
              </w:tc>
            </w:tr>
            <w:tr w:rsidR="009227BD" w:rsidRPr="009227BD" w:rsidTr="009227BD">
              <w:trPr>
                <w:tblHeader/>
              </w:trPr>
              <w:tc>
                <w:tcPr>
                  <w:tcW w:w="1949" w:type="dxa"/>
                  <w:vMerge/>
                  <w:tcBorders>
                    <w:top w:val="single" w:sz="4" w:space="0" w:color="auto"/>
                    <w:left w:val="single" w:sz="4" w:space="0" w:color="auto"/>
                    <w:bottom w:val="single" w:sz="4" w:space="0" w:color="auto"/>
                    <w:right w:val="single" w:sz="4" w:space="0" w:color="auto"/>
                  </w:tcBorders>
                  <w:vAlign w:val="center"/>
                  <w:hideMark/>
                </w:tcPr>
                <w:p w:rsidR="009227BD" w:rsidRPr="009227BD" w:rsidRDefault="009227BD" w:rsidP="009227BD"/>
              </w:tc>
              <w:tc>
                <w:tcPr>
                  <w:tcW w:w="1701"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Planas (patikslintas)</w:t>
                  </w:r>
                </w:p>
              </w:tc>
              <w:tc>
                <w:tcPr>
                  <w:tcW w:w="1475"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Panaudota lėšų</w:t>
                  </w:r>
                </w:p>
              </w:tc>
              <w:tc>
                <w:tcPr>
                  <w:tcW w:w="1360"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Įvykdymas (proc.)</w:t>
                  </w:r>
                </w:p>
              </w:tc>
              <w:tc>
                <w:tcPr>
                  <w:tcW w:w="3013" w:type="dxa"/>
                  <w:vMerge/>
                  <w:tcBorders>
                    <w:top w:val="single" w:sz="4" w:space="0" w:color="auto"/>
                    <w:left w:val="single" w:sz="4" w:space="0" w:color="auto"/>
                    <w:bottom w:val="single" w:sz="4" w:space="0" w:color="auto"/>
                    <w:right w:val="single" w:sz="4" w:space="0" w:color="auto"/>
                  </w:tcBorders>
                  <w:vAlign w:val="center"/>
                  <w:hideMark/>
                </w:tcPr>
                <w:p w:rsidR="009227BD" w:rsidRPr="009227BD" w:rsidRDefault="009227BD" w:rsidP="009227BD"/>
              </w:tc>
            </w:tr>
            <w:tr w:rsidR="009227BD" w:rsidRPr="009227BD" w:rsidTr="009227BD">
              <w:trPr>
                <w:trHeight w:val="415"/>
              </w:trPr>
              <w:tc>
                <w:tcPr>
                  <w:tcW w:w="1949"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r w:rsidRPr="009227BD">
                    <w:t>Savivaldybės biudžetas (SB)</w:t>
                  </w:r>
                </w:p>
              </w:tc>
              <w:tc>
                <w:tcPr>
                  <w:tcW w:w="1701"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402,4</w:t>
                  </w:r>
                </w:p>
              </w:tc>
              <w:tc>
                <w:tcPr>
                  <w:tcW w:w="1475"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396,4</w:t>
                  </w:r>
                </w:p>
              </w:tc>
              <w:tc>
                <w:tcPr>
                  <w:tcW w:w="1360"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98,51 proc.</w:t>
                  </w:r>
                </w:p>
              </w:tc>
              <w:tc>
                <w:tcPr>
                  <w:tcW w:w="3013" w:type="dxa"/>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 xml:space="preserve">Nepanaudota dalis lėšų, skirtų darbuotojų išeitinėms išmokoms </w:t>
                  </w:r>
                </w:p>
              </w:tc>
            </w:tr>
            <w:tr w:rsidR="009227BD" w:rsidRPr="009227BD" w:rsidTr="009227BD">
              <w:tc>
                <w:tcPr>
                  <w:tcW w:w="1949"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r w:rsidRPr="009227BD">
                    <w:t>Specialioji tikslinė dotacija (VB)</w:t>
                  </w:r>
                </w:p>
              </w:tc>
              <w:tc>
                <w:tcPr>
                  <w:tcW w:w="1701"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314,6</w:t>
                  </w:r>
                </w:p>
              </w:tc>
              <w:tc>
                <w:tcPr>
                  <w:tcW w:w="1475"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314,6</w:t>
                  </w:r>
                </w:p>
              </w:tc>
              <w:tc>
                <w:tcPr>
                  <w:tcW w:w="1360"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rPr>
                      <w:szCs w:val="20"/>
                    </w:rPr>
                    <w:t>100</w:t>
                  </w:r>
                  <w:r w:rsidRPr="009227BD">
                    <w:t xml:space="preserve"> proc.</w:t>
                  </w:r>
                </w:p>
              </w:tc>
              <w:tc>
                <w:tcPr>
                  <w:tcW w:w="3013" w:type="dxa"/>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w:t>
                  </w:r>
                </w:p>
              </w:tc>
            </w:tr>
            <w:tr w:rsidR="009227BD" w:rsidRPr="009227BD" w:rsidTr="009227BD">
              <w:tc>
                <w:tcPr>
                  <w:tcW w:w="1949"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r w:rsidRPr="009227BD">
                    <w:t>Įstaigos gautos pajamos (surinkta pajamų SP), iš jų:</w:t>
                  </w:r>
                </w:p>
              </w:tc>
              <w:tc>
                <w:tcPr>
                  <w:tcW w:w="1701"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0,5</w:t>
                  </w:r>
                </w:p>
              </w:tc>
              <w:tc>
                <w:tcPr>
                  <w:tcW w:w="1475"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0,04</w:t>
                  </w:r>
                </w:p>
              </w:tc>
              <w:tc>
                <w:tcPr>
                  <w:tcW w:w="1360"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rPr>
                      <w:szCs w:val="20"/>
                    </w:rPr>
                    <w:t>8</w:t>
                  </w:r>
                  <w:r w:rsidRPr="009227BD">
                    <w:t xml:space="preserve"> proc.</w:t>
                  </w:r>
                </w:p>
              </w:tc>
              <w:tc>
                <w:tcPr>
                  <w:tcW w:w="3013" w:type="dxa"/>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 xml:space="preserve">Nesurinktos planuotos lėšos, nes nebuvo teikta patalpų nuomos paslauga </w:t>
                  </w:r>
                </w:p>
              </w:tc>
            </w:tr>
            <w:tr w:rsidR="009227BD" w:rsidRPr="009227BD" w:rsidTr="009227BD">
              <w:trPr>
                <w:trHeight w:val="143"/>
              </w:trPr>
              <w:tc>
                <w:tcPr>
                  <w:tcW w:w="1949"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r w:rsidRPr="009227BD">
                    <w:t>Pajamų išlaidos (SP)</w:t>
                  </w:r>
                </w:p>
              </w:tc>
              <w:tc>
                <w:tcPr>
                  <w:tcW w:w="1701"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95,5</w:t>
                  </w:r>
                </w:p>
              </w:tc>
              <w:tc>
                <w:tcPr>
                  <w:tcW w:w="1475"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69,9</w:t>
                  </w:r>
                </w:p>
              </w:tc>
              <w:tc>
                <w:tcPr>
                  <w:tcW w:w="1360"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rPr>
                      <w:szCs w:val="20"/>
                    </w:rPr>
                    <w:t>73,19</w:t>
                  </w:r>
                  <w:r w:rsidRPr="009227BD">
                    <w:t xml:space="preserve"> proc.</w:t>
                  </w:r>
                </w:p>
              </w:tc>
              <w:tc>
                <w:tcPr>
                  <w:tcW w:w="3013" w:type="dxa"/>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Pagal Klaipėdos miesto savivaldybės administracijos direktoriaus 2021-01-05 įsakymą Nr. AD1-6</w:t>
                  </w:r>
                </w:p>
              </w:tc>
            </w:tr>
            <w:tr w:rsidR="009227BD" w:rsidRPr="009227BD" w:rsidTr="009227BD">
              <w:trPr>
                <w:trHeight w:val="125"/>
              </w:trPr>
              <w:tc>
                <w:tcPr>
                  <w:tcW w:w="1949"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r w:rsidRPr="009227BD">
                    <w:t>Projektų finansavimas (ES; VB;SB)</w:t>
                  </w:r>
                </w:p>
              </w:tc>
              <w:tc>
                <w:tcPr>
                  <w:tcW w:w="1701"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w:t>
                  </w:r>
                </w:p>
              </w:tc>
              <w:tc>
                <w:tcPr>
                  <w:tcW w:w="1475"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w:t>
                  </w:r>
                </w:p>
              </w:tc>
              <w:tc>
                <w:tcPr>
                  <w:tcW w:w="1360"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w:t>
                  </w:r>
                </w:p>
              </w:tc>
              <w:tc>
                <w:tcPr>
                  <w:tcW w:w="3013" w:type="dxa"/>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w:t>
                  </w:r>
                </w:p>
              </w:tc>
            </w:tr>
            <w:tr w:rsidR="009227BD" w:rsidRPr="009227BD" w:rsidTr="009227BD">
              <w:tc>
                <w:tcPr>
                  <w:tcW w:w="1949"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r w:rsidRPr="009227BD">
                    <w:t>Kitos lėšos (parama 2 proc. GM ir kt.)</w:t>
                  </w:r>
                </w:p>
              </w:tc>
              <w:tc>
                <w:tcPr>
                  <w:tcW w:w="1701"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1,9</w:t>
                  </w:r>
                </w:p>
              </w:tc>
              <w:tc>
                <w:tcPr>
                  <w:tcW w:w="1475"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1,9</w:t>
                  </w:r>
                </w:p>
              </w:tc>
              <w:tc>
                <w:tcPr>
                  <w:tcW w:w="1360"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rPr>
                      <w:szCs w:val="20"/>
                    </w:rPr>
                    <w:t>100</w:t>
                  </w:r>
                  <w:r w:rsidRPr="009227BD">
                    <w:t xml:space="preserve"> proc.</w:t>
                  </w:r>
                </w:p>
              </w:tc>
              <w:tc>
                <w:tcPr>
                  <w:tcW w:w="3013" w:type="dxa"/>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w:t>
                  </w:r>
                </w:p>
              </w:tc>
            </w:tr>
            <w:tr w:rsidR="009227BD" w:rsidRPr="009227BD" w:rsidTr="009227BD">
              <w:trPr>
                <w:trHeight w:val="152"/>
              </w:trPr>
              <w:tc>
                <w:tcPr>
                  <w:tcW w:w="1949"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r w:rsidRPr="009227BD">
                    <w:t>Iš viso</w:t>
                  </w:r>
                </w:p>
              </w:tc>
              <w:tc>
                <w:tcPr>
                  <w:tcW w:w="1701"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814,9</w:t>
                  </w:r>
                </w:p>
              </w:tc>
              <w:tc>
                <w:tcPr>
                  <w:tcW w:w="1475"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782,84</w:t>
                  </w:r>
                </w:p>
              </w:tc>
              <w:tc>
                <w:tcPr>
                  <w:tcW w:w="1360" w:type="dxa"/>
                  <w:tcBorders>
                    <w:top w:val="single" w:sz="4" w:space="0" w:color="auto"/>
                    <w:left w:val="single" w:sz="4" w:space="0" w:color="auto"/>
                    <w:bottom w:val="single" w:sz="4" w:space="0" w:color="auto"/>
                    <w:right w:val="single" w:sz="4" w:space="0" w:color="auto"/>
                  </w:tcBorders>
                  <w:hideMark/>
                </w:tcPr>
                <w:p w:rsidR="009227BD" w:rsidRPr="009227BD" w:rsidRDefault="009227BD" w:rsidP="009227BD">
                  <w:pPr>
                    <w:jc w:val="center"/>
                  </w:pPr>
                  <w:r w:rsidRPr="009227BD">
                    <w:t>96,07 proc.</w:t>
                  </w:r>
                </w:p>
              </w:tc>
              <w:tc>
                <w:tcPr>
                  <w:tcW w:w="3013" w:type="dxa"/>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w:t>
                  </w:r>
                </w:p>
              </w:tc>
            </w:tr>
            <w:tr w:rsidR="009227BD" w:rsidRPr="009227BD" w:rsidTr="009227BD">
              <w:tc>
                <w:tcPr>
                  <w:tcW w:w="5125" w:type="dxa"/>
                  <w:gridSpan w:val="3"/>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Kreditinis įsiskolinimas (pagal visus finansavimo šaltinius) 2022 m. sausio 1 d. – 124,05</w:t>
                  </w:r>
                </w:p>
              </w:tc>
              <w:tc>
                <w:tcPr>
                  <w:tcW w:w="1360" w:type="dxa"/>
                  <w:tcBorders>
                    <w:top w:val="single" w:sz="4" w:space="0" w:color="auto"/>
                    <w:left w:val="single" w:sz="4" w:space="0" w:color="auto"/>
                    <w:bottom w:val="single" w:sz="4" w:space="0" w:color="auto"/>
                    <w:right w:val="single" w:sz="4" w:space="0" w:color="auto"/>
                  </w:tcBorders>
                </w:tcPr>
                <w:p w:rsidR="009227BD" w:rsidRPr="009227BD" w:rsidRDefault="009227BD" w:rsidP="009227BD"/>
              </w:tc>
              <w:tc>
                <w:tcPr>
                  <w:tcW w:w="3013" w:type="dxa"/>
                  <w:tcBorders>
                    <w:top w:val="single" w:sz="4" w:space="0" w:color="auto"/>
                    <w:left w:val="single" w:sz="4" w:space="0" w:color="auto"/>
                    <w:bottom w:val="single" w:sz="4" w:space="0" w:color="auto"/>
                    <w:right w:val="single" w:sz="4" w:space="0" w:color="auto"/>
                  </w:tcBorders>
                  <w:hideMark/>
                </w:tcPr>
                <w:p w:rsidR="009227BD" w:rsidRPr="009227BD" w:rsidRDefault="009227BD" w:rsidP="00DD59EC">
                  <w:pPr>
                    <w:jc w:val="both"/>
                  </w:pPr>
                  <w:r w:rsidRPr="009227BD">
                    <w:t>Skirta nepakankamai lėšų nemokamo maitinimo kompensavimui (116,23 Eur). Paslaugų tiekėjas sąskaitą už gruodžio mėnesį išrašo tik sausio mėnesį (7,82 Eur)</w:t>
                  </w:r>
                </w:p>
              </w:tc>
            </w:tr>
          </w:tbl>
          <w:p w:rsidR="00DD59EC" w:rsidRDefault="00DD59EC" w:rsidP="00411D97">
            <w:pPr>
              <w:ind w:right="-22" w:firstLine="603"/>
              <w:jc w:val="both"/>
              <w:rPr>
                <w:szCs w:val="20"/>
              </w:rPr>
            </w:pPr>
          </w:p>
          <w:p w:rsidR="009227BD" w:rsidRPr="009227BD" w:rsidRDefault="009227BD" w:rsidP="00411D97">
            <w:pPr>
              <w:ind w:right="-22" w:firstLine="603"/>
              <w:jc w:val="both"/>
              <w:rPr>
                <w:szCs w:val="20"/>
              </w:rPr>
            </w:pPr>
            <w:r w:rsidRPr="009227BD">
              <w:rPr>
                <w:szCs w:val="20"/>
              </w:rPr>
              <w:t>Vykdyti planiniai kontroliuojančių institucijų patikrinimai: Maisto saugos, kokybės ir higienos kontrolė. Valstybinės maisto ir veterinarijos tarnybos Klaipėdos departamentas(2021-08-13), Nacionalinis visuomenės sveikatos centras prie Sveikatos apsaugos ministerijos Klaipėdos departamento Visuomenės sveikatos saugos kontrolės skyrius (2021-05-07); pažeidimų nenustatyta.</w:t>
            </w:r>
          </w:p>
          <w:p w:rsidR="009227BD" w:rsidRPr="009227BD" w:rsidRDefault="009227BD" w:rsidP="00411D97">
            <w:pPr>
              <w:ind w:right="-22" w:firstLine="603"/>
              <w:jc w:val="both"/>
              <w:rPr>
                <w:szCs w:val="20"/>
              </w:rPr>
            </w:pPr>
            <w:r w:rsidRPr="009227BD">
              <w:rPr>
                <w:szCs w:val="20"/>
              </w:rPr>
              <w:lastRenderedPageBreak/>
              <w:t>2021 metais Įstaigoje liko neišspręstos vidaus ir išorės faktorių sąlygotos problemos: dėl Įstaigos pastato renovacijos: temperatūra kampinėse grupėse neatitinka</w:t>
            </w:r>
            <w:r w:rsidRPr="009227BD">
              <w:t xml:space="preserve"> higienos normos, skilinėja sienos, rūsyje kaupiasi drėgmė, būtina hermetizuoti pastato siūles; Į</w:t>
            </w:r>
            <w:r w:rsidRPr="009227BD">
              <w:rPr>
                <w:szCs w:val="20"/>
              </w:rPr>
              <w:t xml:space="preserve">staigoje diegiamos personalo, dokumentų valdymo sistemos, tačiau nėra skiriama lėšų informacinių ir komunikacinių technologijų įsigijimui, internetinio ryšio stiprinimui. </w:t>
            </w:r>
          </w:p>
          <w:p w:rsidR="009227BD" w:rsidRPr="009227BD" w:rsidRDefault="009227BD" w:rsidP="00411D97">
            <w:pPr>
              <w:ind w:right="-22" w:firstLine="603"/>
              <w:jc w:val="both"/>
              <w:rPr>
                <w:lang w:eastAsia="lt-LT"/>
              </w:rPr>
            </w:pPr>
            <w:r w:rsidRPr="009227BD">
              <w:t xml:space="preserve">Planuodama 2022 m. veiklą, Įstaigos bendruomenė susitarė dėl tokių tęstinių veiklos prioritetų: </w:t>
            </w:r>
            <w:r w:rsidRPr="009227BD">
              <w:rPr>
                <w:szCs w:val="20"/>
              </w:rPr>
              <w:t>socialinės partnerystės ir lyderystės gebėjimų didinimas, profesinis pedagogų skaitmeninio raštingumo gilinimas, siekiant Įstaigos veiklos ir kokybiško ugdymo proceso organizavimo</w:t>
            </w:r>
            <w:r w:rsidR="00411D97">
              <w:rPr>
                <w:szCs w:val="20"/>
              </w:rPr>
              <w:t>.</w:t>
            </w:r>
          </w:p>
        </w:tc>
      </w:tr>
    </w:tbl>
    <w:p w:rsidR="009227BD" w:rsidRPr="00DD59EC" w:rsidRDefault="009227BD" w:rsidP="00DD59EC">
      <w:pPr>
        <w:rPr>
          <w:lang w:eastAsia="lt-LT"/>
        </w:rPr>
      </w:pPr>
    </w:p>
    <w:p w:rsidR="009227BD" w:rsidRDefault="009227BD" w:rsidP="009227BD"/>
    <w:p w:rsidR="00D57F27" w:rsidRPr="009227BD" w:rsidRDefault="00DD59EC" w:rsidP="009227BD">
      <w:r>
        <w:rPr>
          <w:lang w:eastAsia="lt-LT"/>
        </w:rPr>
        <w:t>Direktorė</w:t>
      </w:r>
      <w:bookmarkStart w:id="2" w:name="_GoBack"/>
      <w:bookmarkEnd w:id="2"/>
      <w:r w:rsidR="009227BD">
        <w:rPr>
          <w:lang w:eastAsia="lt-LT"/>
        </w:rPr>
        <w:t xml:space="preserve"> </w:t>
      </w:r>
      <w:r w:rsidR="009227BD">
        <w:rPr>
          <w:lang w:eastAsia="lt-LT"/>
        </w:rPr>
        <w:tab/>
      </w:r>
      <w:r w:rsidR="009227BD">
        <w:rPr>
          <w:lang w:eastAsia="lt-LT"/>
        </w:rPr>
        <w:tab/>
      </w:r>
      <w:r w:rsidR="009227BD">
        <w:rPr>
          <w:lang w:eastAsia="lt-LT"/>
        </w:rPr>
        <w:tab/>
      </w:r>
      <w:r w:rsidR="009227BD">
        <w:rPr>
          <w:lang w:eastAsia="lt-LT"/>
        </w:rPr>
        <w:tab/>
      </w:r>
      <w:r w:rsidR="009227BD">
        <w:rPr>
          <w:lang w:eastAsia="lt-LT"/>
        </w:rPr>
        <w:tab/>
      </w:r>
      <w:r w:rsidR="009227BD">
        <w:rPr>
          <w:lang w:eastAsia="lt-LT"/>
        </w:rPr>
        <w:tab/>
      </w:r>
      <w:r w:rsidR="009227BD" w:rsidRPr="00220171">
        <w:rPr>
          <w:lang w:eastAsia="lt-LT"/>
        </w:rPr>
        <w:t>Inga Petravičienė</w:t>
      </w:r>
    </w:p>
    <w:sectPr w:rsidR="00D57F27" w:rsidRPr="009227BD"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D59EC">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20171"/>
    <w:rsid w:val="0034183E"/>
    <w:rsid w:val="00411D97"/>
    <w:rsid w:val="004476DD"/>
    <w:rsid w:val="00597EE8"/>
    <w:rsid w:val="005B434A"/>
    <w:rsid w:val="005F495C"/>
    <w:rsid w:val="006547DB"/>
    <w:rsid w:val="00832CC9"/>
    <w:rsid w:val="008354D5"/>
    <w:rsid w:val="008E6E82"/>
    <w:rsid w:val="009227BD"/>
    <w:rsid w:val="00AF7D08"/>
    <w:rsid w:val="00B750B6"/>
    <w:rsid w:val="00C57681"/>
    <w:rsid w:val="00CA4D3B"/>
    <w:rsid w:val="00D26AC2"/>
    <w:rsid w:val="00D42B72"/>
    <w:rsid w:val="00D57F27"/>
    <w:rsid w:val="00DD59E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BF9FE"/>
  <w15:docId w15:val="{66ECF70A-059A-4EC9-8072-4D8782B2E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36544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pedagogas.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udarzelis.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7722</Words>
  <Characters>4403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2022-02-24T06:17:00Z</dcterms:created>
  <dcterms:modified xsi:type="dcterms:W3CDTF">2022-02-24T08:02:00Z</dcterms:modified>
</cp:coreProperties>
</file>